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67" w:rsidRPr="002F7F92" w:rsidRDefault="00106E67" w:rsidP="00106E67">
      <w:pPr>
        <w:pStyle w:val="Title"/>
        <w:rPr>
          <w:rStyle w:val="Appendix1"/>
          <w:u w:val="single"/>
        </w:rPr>
      </w:pPr>
      <w:r w:rsidRPr="002F7F92">
        <w:rPr>
          <w:rStyle w:val="Appendix1"/>
          <w:u w:val="single"/>
        </w:rPr>
        <w:t>PRICING FORM</w:t>
      </w:r>
    </w:p>
    <w:p w:rsidR="00106E67" w:rsidRDefault="00106E67" w:rsidP="00106E67">
      <w:pPr>
        <w:pStyle w:val="BlockText"/>
        <w:tabs>
          <w:tab w:val="clear" w:pos="2250"/>
          <w:tab w:val="left" w:pos="1260"/>
        </w:tabs>
        <w:ind w:left="0" w:right="360"/>
      </w:pPr>
    </w:p>
    <w:p w:rsidR="00106E67" w:rsidRDefault="00106E67" w:rsidP="00106E67">
      <w:pPr>
        <w:rPr>
          <w:rFonts w:cs="Arial"/>
          <w:b/>
        </w:rPr>
      </w:pPr>
      <w:r>
        <w:rPr>
          <w:rFonts w:cs="Arial"/>
        </w:rPr>
        <w:t>Bidders</w:t>
      </w:r>
      <w:r w:rsidRPr="00B91215">
        <w:rPr>
          <w:rFonts w:cs="Arial"/>
        </w:rPr>
        <w:t xml:space="preserve"> shall provide a firm fixed price for the line items presented below.  The Government reserves the right to select any option as presented below for the execution of this project.  </w:t>
      </w:r>
      <w:bookmarkStart w:id="0" w:name="_GoBack"/>
      <w:bookmarkEnd w:id="0"/>
    </w:p>
    <w:p w:rsidR="00251BAE" w:rsidRDefault="00251BAE" w:rsidP="00106E67">
      <w:pPr>
        <w:rPr>
          <w:rFonts w:cs="Arial"/>
          <w:b/>
        </w:rPr>
      </w:pPr>
    </w:p>
    <w:p w:rsidR="00251BAE" w:rsidRPr="00C4464B" w:rsidRDefault="00251BAE" w:rsidP="00106E67">
      <w:pPr>
        <w:rPr>
          <w:rFonts w:cs="Arial"/>
          <w:b/>
          <w:sz w:val="20"/>
        </w:rPr>
      </w:pPr>
    </w:p>
    <w:tbl>
      <w:tblPr>
        <w:tblW w:w="10207" w:type="dxa"/>
        <w:jc w:val="center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057"/>
        <w:gridCol w:w="1517"/>
        <w:gridCol w:w="1378"/>
        <w:gridCol w:w="1746"/>
        <w:gridCol w:w="1378"/>
        <w:gridCol w:w="1287"/>
      </w:tblGrid>
      <w:tr w:rsidR="00106E67" w:rsidRPr="00C4464B" w:rsidTr="00A06BF7">
        <w:trPr>
          <w:trHeight w:val="258"/>
          <w:jc w:val="center"/>
        </w:trPr>
        <w:tc>
          <w:tcPr>
            <w:tcW w:w="844" w:type="dxa"/>
          </w:tcPr>
          <w:p w:rsidR="00106E67" w:rsidRDefault="00106E67" w:rsidP="008B7729">
            <w:pPr>
              <w:pStyle w:val="BodyText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Item No.</w:t>
            </w:r>
          </w:p>
        </w:tc>
        <w:tc>
          <w:tcPr>
            <w:tcW w:w="2057" w:type="dxa"/>
          </w:tcPr>
          <w:p w:rsidR="00106E67" w:rsidRPr="00C4464B" w:rsidRDefault="00106E67" w:rsidP="008B7729">
            <w:pPr>
              <w:pStyle w:val="BodyText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1517" w:type="dxa"/>
          </w:tcPr>
          <w:p w:rsidR="00106E67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Quantity</w:t>
            </w:r>
          </w:p>
        </w:tc>
        <w:tc>
          <w:tcPr>
            <w:tcW w:w="1378" w:type="dxa"/>
          </w:tcPr>
          <w:p w:rsidR="00106E67" w:rsidRPr="00C4464B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</w:t>
            </w:r>
          </w:p>
        </w:tc>
        <w:tc>
          <w:tcPr>
            <w:tcW w:w="1746" w:type="dxa"/>
          </w:tcPr>
          <w:p w:rsidR="00106E67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 Price</w:t>
            </w:r>
          </w:p>
        </w:tc>
        <w:tc>
          <w:tcPr>
            <w:tcW w:w="1378" w:type="dxa"/>
          </w:tcPr>
          <w:p w:rsidR="00106E67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Delivery No. of Days</w:t>
            </w:r>
          </w:p>
        </w:tc>
        <w:tc>
          <w:tcPr>
            <w:tcW w:w="1287" w:type="dxa"/>
          </w:tcPr>
          <w:p w:rsidR="00106E67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Subtotal </w:t>
            </w:r>
          </w:p>
          <w:p w:rsidR="00106E67" w:rsidRPr="00C4464B" w:rsidRDefault="00106E67" w:rsidP="008B7729">
            <w:pPr>
              <w:pStyle w:val="BodyText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Price</w:t>
            </w:r>
          </w:p>
        </w:tc>
      </w:tr>
      <w:tr w:rsidR="00106E67" w:rsidRPr="00D1041C" w:rsidTr="00A06BF7">
        <w:trPr>
          <w:trHeight w:val="275"/>
          <w:jc w:val="center"/>
        </w:trPr>
        <w:tc>
          <w:tcPr>
            <w:tcW w:w="844" w:type="dxa"/>
          </w:tcPr>
          <w:p w:rsidR="00106E67" w:rsidRPr="00D1041C" w:rsidRDefault="00106E67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 w:rsidRPr="00D1041C">
              <w:rPr>
                <w:rFonts w:asciiTheme="majorHAnsi" w:hAnsiTheme="majorHAnsi" w:cs="Arial"/>
                <w:szCs w:val="22"/>
              </w:rPr>
              <w:t>0001</w:t>
            </w:r>
          </w:p>
        </w:tc>
        <w:tc>
          <w:tcPr>
            <w:tcW w:w="2057" w:type="dxa"/>
          </w:tcPr>
          <w:p w:rsidR="00106E67" w:rsidRPr="00D1041C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Design &amp; Engineering of New Clinker Crane</w:t>
            </w:r>
          </w:p>
        </w:tc>
        <w:tc>
          <w:tcPr>
            <w:tcW w:w="1517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 w:rsidRPr="00D1041C"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 w:rsidRPr="00D1041C"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106E67" w:rsidRPr="00D1041C" w:rsidTr="00A06BF7">
        <w:trPr>
          <w:trHeight w:val="550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0002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106E67" w:rsidRPr="00D1041C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Supply and Delivery of a Complete Clinker Crane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106E67" w:rsidRPr="00D1041C" w:rsidTr="00A06BF7">
        <w:trPr>
          <w:trHeight w:val="550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0003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106E67" w:rsidRPr="00D1041C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Supply and Delivery of Clinker Crane Mechanical &amp; Electrical Systems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51BAE" w:rsidRPr="00D1041C" w:rsidTr="00A06BF7">
        <w:trPr>
          <w:trHeight w:val="550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0004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Decommissioning of Existing Clinker Crane, Rails and Systems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51BAE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51BAE" w:rsidRPr="00D1041C" w:rsidTr="00A06BF7">
        <w:trPr>
          <w:trHeight w:val="550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0005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Supply and Delivery of New Rail System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51BAE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51BAE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51BAE" w:rsidRPr="00D1041C" w:rsidTr="00A06BF7">
        <w:trPr>
          <w:trHeight w:val="543"/>
          <w:jc w:val="center"/>
        </w:trPr>
        <w:tc>
          <w:tcPr>
            <w:tcW w:w="844" w:type="dxa"/>
          </w:tcPr>
          <w:p w:rsidR="00251BAE" w:rsidRPr="00D1041C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Cs w:val="22"/>
              </w:rPr>
            </w:pPr>
            <w:r w:rsidRPr="00251BAE">
              <w:rPr>
                <w:rFonts w:asciiTheme="majorHAnsi" w:hAnsiTheme="majorHAnsi" w:cs="Arial"/>
                <w:szCs w:val="22"/>
              </w:rPr>
              <w:t>0006</w:t>
            </w:r>
          </w:p>
        </w:tc>
        <w:tc>
          <w:tcPr>
            <w:tcW w:w="2057" w:type="dxa"/>
            <w:shd w:val="clear" w:color="auto" w:fill="auto"/>
          </w:tcPr>
          <w:p w:rsidR="00251BAE" w:rsidRPr="002F7F92" w:rsidRDefault="00251BAE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51BAE">
              <w:rPr>
                <w:rFonts w:asciiTheme="majorHAnsi" w:hAnsiTheme="majorHAnsi" w:cs="Arial"/>
                <w:szCs w:val="22"/>
              </w:rPr>
              <w:t>Installation of Complete Clinker Crane Systems</w:t>
            </w:r>
          </w:p>
        </w:tc>
        <w:tc>
          <w:tcPr>
            <w:tcW w:w="1517" w:type="dxa"/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251BAE" w:rsidRPr="00D1041C" w:rsidRDefault="00251BAE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A06BF7" w:rsidRPr="00D1041C" w:rsidTr="00A06BF7">
        <w:trPr>
          <w:trHeight w:val="1367"/>
          <w:jc w:val="center"/>
        </w:trPr>
        <w:tc>
          <w:tcPr>
            <w:tcW w:w="844" w:type="dxa"/>
          </w:tcPr>
          <w:p w:rsidR="00A06BF7" w:rsidRPr="00251BAE" w:rsidRDefault="00A06BF7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0007</w:t>
            </w:r>
          </w:p>
        </w:tc>
        <w:tc>
          <w:tcPr>
            <w:tcW w:w="2057" w:type="dxa"/>
            <w:shd w:val="clear" w:color="auto" w:fill="auto"/>
          </w:tcPr>
          <w:p w:rsidR="00A06BF7" w:rsidRPr="00251BAE" w:rsidRDefault="00A06BF7" w:rsidP="008B7729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Optional Fresh Air Supplied Clinker Crane Cab Engineering &amp; Installation</w:t>
            </w:r>
          </w:p>
        </w:tc>
        <w:tc>
          <w:tcPr>
            <w:tcW w:w="1517" w:type="dxa"/>
          </w:tcPr>
          <w:p w:rsidR="00A06BF7" w:rsidRDefault="00A06BF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06BF7" w:rsidRDefault="00A06BF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EA</w:t>
            </w:r>
          </w:p>
        </w:tc>
        <w:tc>
          <w:tcPr>
            <w:tcW w:w="1746" w:type="dxa"/>
          </w:tcPr>
          <w:p w:rsidR="00A06BF7" w:rsidRPr="00D1041C" w:rsidRDefault="00A06BF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</w:tcPr>
          <w:p w:rsidR="00A06BF7" w:rsidRPr="00D1041C" w:rsidRDefault="00A06BF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A06BF7" w:rsidRPr="00D1041C" w:rsidRDefault="00A06BF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106E67" w:rsidRPr="00D1041C" w:rsidTr="00715B28">
        <w:trPr>
          <w:trHeight w:val="543"/>
          <w:jc w:val="center"/>
        </w:trPr>
        <w:tc>
          <w:tcPr>
            <w:tcW w:w="844" w:type="dxa"/>
          </w:tcPr>
          <w:p w:rsidR="00106E67" w:rsidRPr="00D1041C" w:rsidRDefault="00106E67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106E67" w:rsidRPr="002F7F92" w:rsidRDefault="00106E67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F7F92">
              <w:rPr>
                <w:rFonts w:asciiTheme="majorHAnsi" w:hAnsiTheme="majorHAnsi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17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46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78" w:type="dxa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106E67" w:rsidRPr="00D1041C" w:rsidRDefault="00106E67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715B28" w:rsidRPr="00D1041C" w:rsidTr="00627150">
        <w:trPr>
          <w:trHeight w:val="543"/>
          <w:jc w:val="center"/>
        </w:trPr>
        <w:tc>
          <w:tcPr>
            <w:tcW w:w="844" w:type="dxa"/>
          </w:tcPr>
          <w:p w:rsidR="00715B28" w:rsidRPr="00D1041C" w:rsidRDefault="00715B28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715B28" w:rsidRPr="002F7F92" w:rsidRDefault="00715B28" w:rsidP="008B7729">
            <w:pPr>
              <w:pStyle w:val="BodyText2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7306" w:type="dxa"/>
            <w:gridSpan w:val="5"/>
          </w:tcPr>
          <w:p w:rsidR="00715B28" w:rsidRDefault="00715B28" w:rsidP="008B7729">
            <w:pPr>
              <w:pStyle w:val="BodyText2"/>
              <w:jc w:val="center"/>
              <w:rPr>
                <w:rFonts w:asciiTheme="majorHAnsi" w:hAnsiTheme="majorHAnsi" w:cs="Arial"/>
                <w:szCs w:val="22"/>
              </w:rPr>
            </w:pPr>
          </w:p>
          <w:p w:rsidR="00715B28" w:rsidRPr="00D1041C" w:rsidRDefault="00715B28" w:rsidP="00715B28">
            <w:pPr>
              <w:pStyle w:val="BodyText2"/>
              <w:jc w:val="left"/>
              <w:rPr>
                <w:rFonts w:asciiTheme="majorHAnsi" w:hAnsiTheme="majorHAnsi" w:cs="Arial"/>
                <w:szCs w:val="22"/>
              </w:rPr>
            </w:pPr>
            <w:r w:rsidRPr="00715B28">
              <w:rPr>
                <w:rFonts w:asciiTheme="majorHAnsi" w:hAnsiTheme="majorHAnsi" w:cs="Arial"/>
                <w:b/>
                <w:sz w:val="20"/>
              </w:rPr>
              <w:t>SIGNED ON BEHALF OF BIDDER</w:t>
            </w:r>
            <w:r>
              <w:rPr>
                <w:rFonts w:asciiTheme="majorHAnsi" w:hAnsiTheme="majorHAnsi" w:cs="Arial"/>
                <w:szCs w:val="22"/>
              </w:rPr>
              <w:t xml:space="preserve">   .  . .  . .L . . . .  . .  .  .  .  . .  . .  . . .  . .  .   . .  .  . .</w:t>
            </w:r>
          </w:p>
        </w:tc>
      </w:tr>
    </w:tbl>
    <w:p w:rsidR="00504B83" w:rsidRPr="00504B83" w:rsidRDefault="00504B83" w:rsidP="00106E67">
      <w:pPr>
        <w:rPr>
          <w:rFonts w:cs="Arial"/>
          <w:snapToGrid w:val="0"/>
          <w:sz w:val="24"/>
          <w:szCs w:val="24"/>
        </w:rPr>
      </w:pPr>
      <w:r w:rsidRPr="00504B83">
        <w:rPr>
          <w:rFonts w:cs="Arial"/>
          <w:snapToGrid w:val="0"/>
          <w:sz w:val="24"/>
          <w:szCs w:val="24"/>
        </w:rPr>
        <w:t>Annex B Pricing Form</w:t>
      </w:r>
    </w:p>
    <w:p w:rsidR="00C768F4" w:rsidRDefault="00701600">
      <w:pPr>
        <w:rPr>
          <w:b/>
        </w:rPr>
      </w:pPr>
      <w:r>
        <w:rPr>
          <w:b/>
        </w:rPr>
        <w:t xml:space="preserve">** </w:t>
      </w:r>
      <w:r w:rsidRPr="00701600">
        <w:rPr>
          <w:b/>
        </w:rPr>
        <w:t xml:space="preserve">Please </w:t>
      </w:r>
      <w:r>
        <w:rPr>
          <w:b/>
        </w:rPr>
        <w:t>provide pricing in USD or Euros **</w:t>
      </w:r>
    </w:p>
    <w:p w:rsidR="001F55C0" w:rsidRDefault="001F55C0">
      <w:pPr>
        <w:rPr>
          <w:b/>
        </w:rPr>
      </w:pPr>
    </w:p>
    <w:p w:rsidR="001F55C0" w:rsidRPr="00701600" w:rsidRDefault="001F55C0">
      <w:pPr>
        <w:rPr>
          <w:b/>
        </w:rPr>
      </w:pPr>
      <w:r w:rsidRPr="001F55C0">
        <w:rPr>
          <w:b/>
          <w:noProof/>
        </w:rPr>
        <w:t xml:space="preserve"> </w:t>
      </w:r>
    </w:p>
    <w:sectPr w:rsidR="001F55C0" w:rsidRPr="0070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1CE4"/>
    <w:multiLevelType w:val="hybridMultilevel"/>
    <w:tmpl w:val="C6A2D364"/>
    <w:lvl w:ilvl="0" w:tplc="F5C8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7"/>
    <w:rsid w:val="00106E67"/>
    <w:rsid w:val="001F55C0"/>
    <w:rsid w:val="00251BAE"/>
    <w:rsid w:val="002F7F92"/>
    <w:rsid w:val="00504B83"/>
    <w:rsid w:val="00701600"/>
    <w:rsid w:val="00715B28"/>
    <w:rsid w:val="00A06BF7"/>
    <w:rsid w:val="00BF55B3"/>
    <w:rsid w:val="00C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1">
    <w:name w:val="Appendix 1"/>
    <w:basedOn w:val="DefaultParagraphFont"/>
    <w:rsid w:val="00106E67"/>
  </w:style>
  <w:style w:type="paragraph" w:styleId="BlockText">
    <w:name w:val="Block Text"/>
    <w:basedOn w:val="Normal"/>
    <w:rsid w:val="00106E67"/>
    <w:pPr>
      <w:tabs>
        <w:tab w:val="left" w:pos="2250"/>
        <w:tab w:val="left" w:pos="9720"/>
      </w:tabs>
      <w:spacing w:after="0" w:line="240" w:lineRule="auto"/>
      <w:ind w:left="2250" w:right="216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06E67"/>
    <w:pPr>
      <w:tabs>
        <w:tab w:val="left" w:pos="0"/>
        <w:tab w:val="left" w:pos="1350"/>
      </w:tabs>
      <w:suppressAutoHyphens/>
      <w:spacing w:after="0" w:line="240" w:lineRule="auto"/>
      <w:ind w:hanging="9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06E6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rsid w:val="00106E67"/>
    <w:pPr>
      <w:suppressAutoHyphens/>
      <w:spacing w:after="0" w:line="240" w:lineRule="auto"/>
      <w:jc w:val="right"/>
    </w:pPr>
    <w:rPr>
      <w:rFonts w:ascii="Helvetica 65 Medium" w:eastAsia="Times New Roman" w:hAnsi="Helvetica 65 Medium" w:cs="Times New Roman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106E67"/>
    <w:rPr>
      <w:rFonts w:ascii="Helvetica 65 Medium" w:eastAsia="Times New Roman" w:hAnsi="Helvetica 65 Medium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106E67"/>
    <w:pPr>
      <w:spacing w:before="120" w:after="120"/>
      <w:ind w:left="720"/>
      <w:contextualSpacing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1">
    <w:name w:val="Appendix 1"/>
    <w:basedOn w:val="DefaultParagraphFont"/>
    <w:rsid w:val="00106E67"/>
  </w:style>
  <w:style w:type="paragraph" w:styleId="BlockText">
    <w:name w:val="Block Text"/>
    <w:basedOn w:val="Normal"/>
    <w:rsid w:val="00106E67"/>
    <w:pPr>
      <w:tabs>
        <w:tab w:val="left" w:pos="2250"/>
        <w:tab w:val="left" w:pos="9720"/>
      </w:tabs>
      <w:spacing w:after="0" w:line="240" w:lineRule="auto"/>
      <w:ind w:left="2250" w:right="216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06E67"/>
    <w:pPr>
      <w:tabs>
        <w:tab w:val="left" w:pos="0"/>
        <w:tab w:val="left" w:pos="1350"/>
      </w:tabs>
      <w:suppressAutoHyphens/>
      <w:spacing w:after="0" w:line="240" w:lineRule="auto"/>
      <w:ind w:hanging="9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06E6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rsid w:val="00106E67"/>
    <w:pPr>
      <w:suppressAutoHyphens/>
      <w:spacing w:after="0" w:line="240" w:lineRule="auto"/>
      <w:jc w:val="right"/>
    </w:pPr>
    <w:rPr>
      <w:rFonts w:ascii="Helvetica 65 Medium" w:eastAsia="Times New Roman" w:hAnsi="Helvetica 65 Medium" w:cs="Times New Roman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106E67"/>
    <w:rPr>
      <w:rFonts w:ascii="Helvetica 65 Medium" w:eastAsia="Times New Roman" w:hAnsi="Helvetica 65 Medium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106E67"/>
    <w:pPr>
      <w:spacing w:before="120" w:after="120"/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Nasir R.</dc:creator>
  <cp:lastModifiedBy>Wade, Nasir R.</cp:lastModifiedBy>
  <cp:revision>7</cp:revision>
  <dcterms:created xsi:type="dcterms:W3CDTF">2018-07-09T18:46:00Z</dcterms:created>
  <dcterms:modified xsi:type="dcterms:W3CDTF">2019-01-14T18:42:00Z</dcterms:modified>
</cp:coreProperties>
</file>